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Pr="00FD4CA4" w:rsidRDefault="00DB4B89" w:rsidP="00BB43B6">
      <w:pPr>
        <w:pStyle w:val="a4"/>
      </w:pPr>
      <w:r w:rsidRPr="00FD4CA4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proofErr w:type="spellStart"/>
      <w:r w:rsidR="00775CFC">
        <w:rPr>
          <w:b/>
        </w:rPr>
        <w:t>Милеево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775CFC" w:rsidRDefault="00467F1D" w:rsidP="00454F14">
      <w:pPr>
        <w:ind w:right="43"/>
      </w:pPr>
      <w:r>
        <w:t>0</w:t>
      </w:r>
      <w:r w:rsidR="00E32438" w:rsidRPr="00775CFC">
        <w:t>8</w:t>
      </w:r>
      <w:r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E32438" w:rsidRPr="00775CFC">
        <w:t>2</w:t>
      </w:r>
      <w:r w:rsidR="00775CFC" w:rsidRPr="00775CFC">
        <w:t>6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proofErr w:type="spellStart"/>
      <w:r w:rsidR="00775CFC">
        <w:t>Милеево</w:t>
      </w:r>
      <w:proofErr w:type="spellEnd"/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D94993">
        <w:t xml:space="preserve">Село </w:t>
      </w:r>
      <w:proofErr w:type="spellStart"/>
      <w:r w:rsidR="00775CFC">
        <w:t>Милеево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Pr="00FD4CA4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D94993">
        <w:t xml:space="preserve">Село </w:t>
      </w:r>
      <w:proofErr w:type="spellStart"/>
      <w:r w:rsidR="00775CFC">
        <w:t>Милеево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D94993">
        <w:t xml:space="preserve">Село </w:t>
      </w:r>
      <w:proofErr w:type="spellStart"/>
      <w:r w:rsidR="00775CFC">
        <w:t>Милеево</w:t>
      </w:r>
      <w:proofErr w:type="spellEnd"/>
      <w:r>
        <w:t xml:space="preserve">», утвержденным решением </w:t>
      </w:r>
      <w:r w:rsidR="0050129C">
        <w:t>Сельской Думы</w:t>
      </w:r>
      <w:r w:rsidRPr="00C60CFA">
        <w:t xml:space="preserve"> сельского поселения </w:t>
      </w:r>
      <w:r w:rsidRPr="00FD4CA4">
        <w:t xml:space="preserve">от </w:t>
      </w:r>
      <w:r w:rsidR="0050129C" w:rsidRPr="00FD4CA4">
        <w:t>16</w:t>
      </w:r>
      <w:r w:rsidRPr="00FD4CA4">
        <w:t>.11.20</w:t>
      </w:r>
      <w:r w:rsidR="0068273B" w:rsidRPr="00FD4CA4">
        <w:t>0</w:t>
      </w:r>
      <w:r w:rsidRPr="00FD4CA4">
        <w:t>5 № 2</w:t>
      </w:r>
      <w:r w:rsidR="00FD4CA4" w:rsidRPr="00FD4CA4">
        <w:t>6</w:t>
      </w:r>
      <w:r w:rsidR="00FD4CA4">
        <w:t>.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proofErr w:type="spellStart"/>
      <w:r w:rsidR="00AA1736">
        <w:t>Милеево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AA1736">
        <w:rPr>
          <w:rFonts w:ascii="Times New Roman" w:hAnsi="Times New Roman" w:cs="Times New Roman"/>
          <w:sz w:val="24"/>
          <w:szCs w:val="24"/>
        </w:rPr>
        <w:t>Милеево</w:t>
      </w:r>
      <w:proofErr w:type="spellEnd"/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</w:t>
      </w:r>
      <w:r w:rsidR="00AA1736">
        <w:t>Сельская Дума</w:t>
      </w:r>
      <w:r>
        <w:t xml:space="preserve">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</w:t>
      </w:r>
      <w:r w:rsidR="006E22F4">
        <w:t>Сельской Думы</w:t>
      </w:r>
      <w:r>
        <w:t xml:space="preserve"> «Об исполнении  бюджета сельского поселения «</w:t>
      </w:r>
      <w:r w:rsidR="00304D0C">
        <w:t xml:space="preserve">Село </w:t>
      </w:r>
      <w:proofErr w:type="spellStart"/>
      <w:r w:rsidR="006E22F4">
        <w:t>Милеево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proofErr w:type="spellStart"/>
      <w:r w:rsidR="006E22F4">
        <w:t>Милеево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proofErr w:type="spellStart"/>
      <w:r w:rsidR="006E22F4">
        <w:rPr>
          <w:b/>
          <w:i/>
          <w:u w:val="single"/>
        </w:rPr>
        <w:t>Милеево</w:t>
      </w:r>
      <w:proofErr w:type="spellEnd"/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proofErr w:type="spellStart"/>
      <w:r w:rsidR="006E22F4">
        <w:t>Милеево</w:t>
      </w:r>
      <w:proofErr w:type="spellEnd"/>
      <w:r>
        <w:t>» основан на нормах БК РФ, Устава сельского поселения «</w:t>
      </w:r>
      <w:r w:rsidR="00304D0C">
        <w:t xml:space="preserve">Село </w:t>
      </w:r>
      <w:proofErr w:type="spellStart"/>
      <w:r w:rsidR="006E22F4">
        <w:t>Милеево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Pr="006E4004" w:rsidRDefault="009E66FE" w:rsidP="009E66FE">
      <w:pPr>
        <w:ind w:firstLine="540"/>
        <w:jc w:val="both"/>
      </w:pPr>
      <w:r w:rsidRPr="006E4004">
        <w:lastRenderedPageBreak/>
        <w:t xml:space="preserve">Первоначальный бюджет сельского поселения на 2023 год и плановый период 2024-2025 годов  утвержден решением </w:t>
      </w:r>
      <w:r w:rsidR="0050129C" w:rsidRPr="006E4004">
        <w:t>Сельской Думы</w:t>
      </w:r>
      <w:r w:rsidRPr="006E4004">
        <w:t xml:space="preserve"> от </w:t>
      </w:r>
      <w:r w:rsidR="000428BA" w:rsidRPr="006E4004">
        <w:t>2</w:t>
      </w:r>
      <w:r w:rsidR="0050129C" w:rsidRPr="006E4004">
        <w:t>6</w:t>
      </w:r>
      <w:r w:rsidRPr="006E4004">
        <w:t>.1</w:t>
      </w:r>
      <w:r w:rsidR="0050129C" w:rsidRPr="006E4004">
        <w:t>2</w:t>
      </w:r>
      <w:r w:rsidRPr="006E4004">
        <w:t>.2022г. №</w:t>
      </w:r>
      <w:r w:rsidR="00C60CFA" w:rsidRPr="006E4004">
        <w:t xml:space="preserve"> </w:t>
      </w:r>
      <w:r w:rsidR="0050129C" w:rsidRPr="006E4004">
        <w:t>8</w:t>
      </w:r>
      <w:r w:rsidR="006E4004" w:rsidRPr="006E4004">
        <w:t>2</w:t>
      </w:r>
      <w:r w:rsidRPr="006E4004">
        <w:t>:</w:t>
      </w:r>
    </w:p>
    <w:p w:rsidR="009E66FE" w:rsidRPr="006E4004" w:rsidRDefault="009E66FE" w:rsidP="009E66FE">
      <w:pPr>
        <w:jc w:val="both"/>
        <w:rPr>
          <w:i/>
        </w:rPr>
      </w:pPr>
      <w:r w:rsidRPr="006E4004">
        <w:t xml:space="preserve">        - по доходам в сумме </w:t>
      </w:r>
      <w:r w:rsidR="006E4004" w:rsidRPr="006E4004">
        <w:rPr>
          <w:i/>
        </w:rPr>
        <w:t>1786,3</w:t>
      </w:r>
      <w:r w:rsidRPr="006E4004">
        <w:rPr>
          <w:i/>
        </w:rPr>
        <w:t xml:space="preserve"> тыс</w:t>
      </w:r>
      <w:proofErr w:type="gramStart"/>
      <w:r w:rsidRPr="006E4004">
        <w:rPr>
          <w:i/>
        </w:rPr>
        <w:t>.р</w:t>
      </w:r>
      <w:proofErr w:type="gramEnd"/>
      <w:r w:rsidRPr="006E4004">
        <w:rPr>
          <w:i/>
        </w:rPr>
        <w:t>уб</w:t>
      </w:r>
      <w:r w:rsidR="000428BA" w:rsidRPr="006E4004">
        <w:rPr>
          <w:i/>
        </w:rPr>
        <w:t>лей</w:t>
      </w:r>
      <w:r w:rsidRPr="006E4004">
        <w:t xml:space="preserve">, в том числе безвозмездные поступления от других бюджетов бюджетной системы Российской федерации в сумме </w:t>
      </w:r>
      <w:r w:rsidR="006E4004" w:rsidRPr="006E4004">
        <w:rPr>
          <w:i/>
        </w:rPr>
        <w:t>1475,2</w:t>
      </w:r>
      <w:r w:rsidRPr="006E4004">
        <w:rPr>
          <w:i/>
        </w:rPr>
        <w:t>тыс.рублей,</w:t>
      </w:r>
    </w:p>
    <w:p w:rsidR="009E66FE" w:rsidRPr="006E4004" w:rsidRDefault="009E66FE" w:rsidP="009E66FE">
      <w:pPr>
        <w:ind w:firstLine="540"/>
        <w:jc w:val="both"/>
      </w:pPr>
      <w:r w:rsidRPr="006E4004">
        <w:t xml:space="preserve">- по расходам в сумме </w:t>
      </w:r>
      <w:r w:rsidR="006E4004" w:rsidRPr="006E4004">
        <w:rPr>
          <w:i/>
        </w:rPr>
        <w:t>1786,3</w:t>
      </w:r>
      <w:r w:rsidRPr="006E4004">
        <w:rPr>
          <w:i/>
        </w:rPr>
        <w:t xml:space="preserve"> тыс</w:t>
      </w:r>
      <w:proofErr w:type="gramStart"/>
      <w:r w:rsidRPr="006E4004">
        <w:rPr>
          <w:i/>
        </w:rPr>
        <w:t>.р</w:t>
      </w:r>
      <w:proofErr w:type="gramEnd"/>
      <w:r w:rsidRPr="006E4004">
        <w:rPr>
          <w:i/>
        </w:rPr>
        <w:t>ублей</w:t>
      </w:r>
      <w:r w:rsidRPr="006E4004">
        <w:t>,</w:t>
      </w:r>
    </w:p>
    <w:p w:rsidR="009E66FE" w:rsidRDefault="009E66FE" w:rsidP="009E66FE">
      <w:pPr>
        <w:ind w:firstLine="540"/>
        <w:jc w:val="both"/>
      </w:pPr>
      <w:r w:rsidRPr="006E4004">
        <w:t>- дефицит</w:t>
      </w:r>
      <w:r w:rsidR="00304D0C" w:rsidRPr="006E4004">
        <w:t xml:space="preserve"> (</w:t>
      </w:r>
      <w:proofErr w:type="spellStart"/>
      <w:r w:rsidR="00304D0C" w:rsidRPr="006E4004">
        <w:t>профицит</w:t>
      </w:r>
      <w:proofErr w:type="spellEnd"/>
      <w:r w:rsidR="00304D0C" w:rsidRPr="006E4004">
        <w:t>) бюджета отсутствует</w:t>
      </w:r>
      <w:r w:rsidRPr="006E4004"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 w:rsidRPr="006E4004">
        <w:t>2</w:t>
      </w:r>
      <w:r w:rsidR="006E4004" w:rsidRPr="006E4004">
        <w:t>2</w:t>
      </w:r>
      <w:r w:rsidR="000428BA" w:rsidRPr="006E4004">
        <w:t>.12.2023</w:t>
      </w:r>
      <w:r w:rsidRPr="006E4004">
        <w:t>г. №1</w:t>
      </w:r>
      <w:r w:rsidR="009E6A99" w:rsidRPr="006E4004">
        <w:t>1</w:t>
      </w:r>
      <w:r w:rsidR="000B72C9">
        <w:t>5</w:t>
      </w:r>
      <w:r w:rsidRPr="006E4004">
        <w:t>),</w:t>
      </w:r>
      <w:r w:rsidRPr="003E0401">
        <w:t xml:space="preserve">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</w:t>
      </w:r>
      <w:r w:rsidR="00D030BF">
        <w:rPr>
          <w:i/>
        </w:rPr>
        <w:t>в сумме 3354,2</w:t>
      </w:r>
      <w:r w:rsidR="00D030BF">
        <w:t xml:space="preserve"> </w:t>
      </w:r>
      <w:r w:rsidR="00D030BF">
        <w:rPr>
          <w:i/>
        </w:rPr>
        <w:t>тыс</w:t>
      </w:r>
      <w:proofErr w:type="gramStart"/>
      <w:r w:rsidR="00D030BF">
        <w:rPr>
          <w:i/>
        </w:rPr>
        <w:t>.р</w:t>
      </w:r>
      <w:proofErr w:type="gramEnd"/>
      <w:r w:rsidR="00D030BF">
        <w:rPr>
          <w:i/>
        </w:rPr>
        <w:t>ублей,</w:t>
      </w:r>
      <w:r w:rsidR="00D030BF">
        <w:t xml:space="preserve"> </w:t>
      </w:r>
      <w:r>
        <w:t xml:space="preserve">с увеличением </w:t>
      </w:r>
      <w:r w:rsidRPr="00EB3C98">
        <w:t>на</w:t>
      </w:r>
      <w:r>
        <w:t xml:space="preserve"> </w:t>
      </w:r>
      <w:r w:rsidR="00D030BF">
        <w:rPr>
          <w:i/>
        </w:rPr>
        <w:t>1567,9</w:t>
      </w:r>
      <w:r w:rsidRPr="000428BA">
        <w:rPr>
          <w:i/>
        </w:rPr>
        <w:t xml:space="preserve"> тыс.рублей</w:t>
      </w:r>
      <w:r w:rsidR="000428BA">
        <w:rPr>
          <w:i/>
        </w:rPr>
        <w:t xml:space="preserve"> (по</w:t>
      </w:r>
      <w:r w:rsidR="00B905AF">
        <w:rPr>
          <w:i/>
        </w:rPr>
        <w:t xml:space="preserve"> отношению к первоначально утвержденным</w:t>
      </w:r>
      <w:r w:rsidR="006E22F4">
        <w:rPr>
          <w:i/>
        </w:rPr>
        <w:t>)</w:t>
      </w:r>
      <w:r>
        <w:rPr>
          <w:i/>
        </w:rPr>
        <w:t xml:space="preserve">, </w:t>
      </w:r>
      <w:r>
        <w:t xml:space="preserve">в том числе с увеличением размера безвозмездных поступлений на </w:t>
      </w:r>
      <w:r w:rsidR="00D030BF">
        <w:t>1522,5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D030BF" w:rsidRPr="00D030BF">
        <w:rPr>
          <w:i/>
        </w:rPr>
        <w:t>2997,7</w:t>
      </w:r>
      <w:r w:rsidRPr="00D030BF">
        <w:rPr>
          <w:i/>
        </w:rPr>
        <w:t>тыс</w:t>
      </w:r>
      <w:r w:rsidRPr="0077191D">
        <w:rPr>
          <w:i/>
        </w:rPr>
        <w:t>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0B72C9">
        <w:t>1844,2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0B72C9">
        <w:t>203,2</w:t>
      </w:r>
      <w:r w:rsidR="00120FCE">
        <w:t>%</w:t>
      </w:r>
      <w:r>
        <w:t xml:space="preserve"> и составили в сумме </w:t>
      </w:r>
      <w:r w:rsidR="006E22F4">
        <w:rPr>
          <w:i/>
        </w:rPr>
        <w:t>3630,5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дефицит бюджета</w:t>
      </w:r>
      <w:r w:rsidR="00B905AF">
        <w:t xml:space="preserve"> отсутствует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0B72C9">
        <w:rPr>
          <w:i/>
        </w:rPr>
        <w:t>3564,5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0B72C9">
        <w:t>99,5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</w:t>
      </w:r>
      <w:r w:rsidR="00B905AF">
        <w:t>х</w:t>
      </w:r>
      <w:r>
        <w:t xml:space="preserve"> лимит</w:t>
      </w:r>
      <w:r w:rsidR="00B905AF">
        <w:t>ов</w:t>
      </w:r>
      <w:r>
        <w:t xml:space="preserve"> бюджетных обязательств и на </w:t>
      </w:r>
      <w:r w:rsidR="000B72C9">
        <w:t>106,3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</w:t>
      </w:r>
      <w:r w:rsidR="008A1E65">
        <w:t>п</w:t>
      </w:r>
      <w:r>
        <w:t>рогноз</w:t>
      </w:r>
      <w:r w:rsidR="008A1E65">
        <w:t>е отсутствия</w:t>
      </w:r>
      <w:r>
        <w:t xml:space="preserve"> дефицит</w:t>
      </w:r>
      <w:r w:rsidR="008A1E65">
        <w:t xml:space="preserve">а </w:t>
      </w:r>
      <w:r>
        <w:t xml:space="preserve">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6E22F4">
        <w:t>66,7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B50C68">
        <w:t xml:space="preserve">Село </w:t>
      </w:r>
      <w:proofErr w:type="spellStart"/>
      <w:r w:rsidR="006E22F4">
        <w:t>Милеево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6E22F4">
        <w:rPr>
          <w:i/>
        </w:rPr>
        <w:t>3564,5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6E22F4">
        <w:t>96,3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3D3A64" w:rsidRPr="003D3A64">
        <w:rPr>
          <w:i/>
        </w:rPr>
        <w:t>440,8</w:t>
      </w:r>
      <w:r w:rsidRPr="003D3A64">
        <w:rPr>
          <w:i/>
        </w:rPr>
        <w:t xml:space="preserve"> тыс</w:t>
      </w:r>
      <w:proofErr w:type="gramStart"/>
      <w:r w:rsidRPr="003D3A64">
        <w:rPr>
          <w:i/>
        </w:rPr>
        <w:t>.р</w:t>
      </w:r>
      <w:proofErr w:type="gramEnd"/>
      <w:r w:rsidRPr="003D3A64">
        <w:rPr>
          <w:i/>
        </w:rPr>
        <w:t>ублей</w:t>
      </w:r>
      <w:r w:rsidRPr="003D3A64">
        <w:t xml:space="preserve">, или на </w:t>
      </w:r>
      <w:r w:rsidR="003D3A64" w:rsidRPr="003D3A64">
        <w:t>14</w:t>
      </w:r>
      <w:r w:rsidR="003D3A64">
        <w:t>,1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C751C4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307,2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518,2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254,8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168,7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52,4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2,6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198,0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291,2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132,9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396,0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300,0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298,0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186,0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center"/>
            </w:pPr>
            <w:r w:rsidRPr="00C751C4">
              <w:t xml:space="preserve">           0,0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239,5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103,1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65,9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Доходы от сдачи в аренду имущества, от реализации </w:t>
            </w:r>
            <w:proofErr w:type="spellStart"/>
            <w:r>
              <w:rPr>
                <w:i/>
                <w:sz w:val="22"/>
                <w:szCs w:val="22"/>
              </w:rPr>
              <w:t>имущ</w:t>
            </w:r>
            <w:proofErr w:type="spellEnd"/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451E67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CA240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112,9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56,4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2366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85,0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113,5</w:t>
            </w:r>
          </w:p>
        </w:tc>
      </w:tr>
      <w:tr w:rsidR="00C751C4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356,5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CA240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676,2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189,7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123,7</w:t>
            </w:r>
          </w:p>
        </w:tc>
      </w:tr>
      <w:tr w:rsidR="00C751C4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2576,9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2997,7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2888,3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96,4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112,1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78,1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99,3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90366C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953,6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1227,2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1227,2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128,7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B0018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109,9</w:t>
            </w:r>
          </w:p>
        </w:tc>
      </w:tr>
      <w:tr w:rsidR="00C751C4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685,0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734,4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632,9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86,2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</w:pPr>
            <w:r w:rsidRPr="00C751C4">
              <w:t>92,4</w:t>
            </w:r>
          </w:p>
        </w:tc>
      </w:tr>
      <w:tr w:rsidR="00C751C4" w:rsidTr="00B3667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3123,7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3354,2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Default="00C751C4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106,3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51C4" w:rsidRPr="00C751C4" w:rsidRDefault="00C751C4">
            <w:pPr>
              <w:jc w:val="right"/>
              <w:rPr>
                <w:b/>
              </w:rPr>
            </w:pPr>
            <w:r w:rsidRPr="00C751C4">
              <w:rPr>
                <w:b/>
              </w:rPr>
              <w:t>114,1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3E202A">
        <w:t>81,3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на </w:t>
      </w:r>
      <w:r w:rsidR="003E202A">
        <w:rPr>
          <w:i/>
        </w:rPr>
        <w:t>440,8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E202A">
        <w:t>14,1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3E202A">
        <w:t>возросли</w:t>
      </w:r>
      <w:r>
        <w:t xml:space="preserve"> на</w:t>
      </w:r>
      <w:r w:rsidR="00140757">
        <w:t xml:space="preserve"> сумму </w:t>
      </w:r>
      <w:r w:rsidR="003E202A">
        <w:t>129,5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E202A">
        <w:t>23,7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6F33A2">
        <w:rPr>
          <w:i/>
        </w:rPr>
        <w:t>311,4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6F33A2">
        <w:t>12,1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696DE1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Налоговые доходы в отчетном году составили</w:t>
      </w:r>
      <w:r w:rsidR="006F33A2">
        <w:t xml:space="preserve"> в сумме</w:t>
      </w:r>
      <w:r>
        <w:t xml:space="preserve"> </w:t>
      </w:r>
      <w:r w:rsidR="006F33A2">
        <w:t>518,2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696DE1">
        <w:t xml:space="preserve">исполнение составило </w:t>
      </w:r>
      <w:r w:rsidR="006F33A2">
        <w:t>254,8</w:t>
      </w:r>
      <w:r w:rsidR="00126B2F">
        <w:t>%</w:t>
      </w:r>
      <w:r w:rsidR="00696DE1">
        <w:t xml:space="preserve">, по отношению к уровню прошлого </w:t>
      </w:r>
      <w:r>
        <w:t>года</w:t>
      </w:r>
      <w:r w:rsidR="00696DE1">
        <w:t xml:space="preserve"> </w:t>
      </w:r>
      <w:r w:rsidR="00006A7D">
        <w:t>выш</w:t>
      </w:r>
      <w:r w:rsidR="00126B2F">
        <w:t>е</w:t>
      </w:r>
      <w:r>
        <w:t xml:space="preserve"> на </w:t>
      </w:r>
      <w:r w:rsidR="00006A7D">
        <w:t>211,0</w:t>
      </w:r>
      <w:r w:rsidR="00696DE1">
        <w:rPr>
          <w:i/>
        </w:rPr>
        <w:t xml:space="preserve"> </w:t>
      </w:r>
      <w:r w:rsidRPr="00A971EF">
        <w:rPr>
          <w:i/>
        </w:rPr>
        <w:t>тыс.рублей</w:t>
      </w:r>
      <w:r>
        <w:t xml:space="preserve">, или </w:t>
      </w:r>
      <w:r w:rsidR="00696DE1">
        <w:t xml:space="preserve">на </w:t>
      </w:r>
      <w:r w:rsidR="00006A7D">
        <w:t>68,7</w:t>
      </w:r>
      <w:r w:rsidR="00696DE1">
        <w:t>%</w:t>
      </w:r>
      <w:r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696DE1">
        <w:t>земельному налогу</w:t>
      </w:r>
      <w:r>
        <w:t xml:space="preserve"> в сумме </w:t>
      </w:r>
      <w:r w:rsidR="00006A7D">
        <w:rPr>
          <w:i/>
        </w:rPr>
        <w:t>396,0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006A7D">
        <w:t>76,4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006A7D">
        <w:t>103,1</w:t>
      </w:r>
      <w:r>
        <w:t xml:space="preserve">% и  к уровню прошлого года они </w:t>
      </w:r>
      <w:r w:rsidR="00126B2F">
        <w:t xml:space="preserve">снижены </w:t>
      </w:r>
      <w:r>
        <w:t>на</w:t>
      </w:r>
      <w:r w:rsidR="00DE62A7">
        <w:t xml:space="preserve"> </w:t>
      </w:r>
      <w:r w:rsidR="00006A7D">
        <w:t>34,1</w:t>
      </w:r>
      <w:r w:rsidR="00DE62A7">
        <w:t>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006A7D">
        <w:rPr>
          <w:i/>
        </w:rPr>
        <w:t>2888,3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006A7D">
        <w:t>96,4</w:t>
      </w:r>
      <w:r>
        <w:t xml:space="preserve">% </w:t>
      </w:r>
      <w:r w:rsidR="00C6461A">
        <w:t xml:space="preserve">от утвержденных годовых назначений и к уровню прошлого года они </w:t>
      </w:r>
      <w:r w:rsidR="00126B2F">
        <w:t xml:space="preserve">возросли на </w:t>
      </w:r>
      <w:r w:rsidR="00006A7D">
        <w:t>12</w:t>
      </w:r>
      <w:r w:rsidR="00126B2F">
        <w:t>,1%,</w:t>
      </w:r>
      <w:r w:rsidR="00C6461A">
        <w:t xml:space="preserve"> или на сумму </w:t>
      </w:r>
      <w:r w:rsidR="00006A7D">
        <w:rPr>
          <w:i/>
        </w:rPr>
        <w:t>311,4</w:t>
      </w:r>
      <w:r w:rsidR="00C6461A" w:rsidRPr="00105CC2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006A7D">
        <w:rPr>
          <w:i/>
        </w:rPr>
        <w:t>1227,2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2E45AA">
        <w:t xml:space="preserve">выше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006A7D">
        <w:t>28,7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FD26F7">
        <w:rPr>
          <w:i/>
        </w:rPr>
        <w:t>1000,0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>% от утвержденных</w:t>
      </w:r>
      <w:r w:rsidR="00FD26F7">
        <w:t xml:space="preserve"> и выше уровня прошлого года на 9,9%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126B2F">
        <w:t>28,2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126B2F">
        <w:t>78,1</w:t>
      </w:r>
      <w:r>
        <w:t>% от утвержденных средств</w:t>
      </w:r>
      <w:r w:rsidR="00FD26F7">
        <w:t xml:space="preserve"> и на уровне прошлого года (минус 0,7%)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FD26F7">
        <w:rPr>
          <w:i/>
        </w:rPr>
        <w:t>63</w:t>
      </w:r>
      <w:r w:rsidR="00126B2F">
        <w:rPr>
          <w:i/>
        </w:rPr>
        <w:t>2,9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FD26F7">
        <w:rPr>
          <w:i/>
        </w:rPr>
        <w:t>86,2</w:t>
      </w:r>
      <w:r w:rsidR="005612D2">
        <w:rPr>
          <w:i/>
        </w:rPr>
        <w:t xml:space="preserve">% от годовых назначений и </w:t>
      </w:r>
      <w:r w:rsidR="00FD26F7">
        <w:rPr>
          <w:i/>
        </w:rPr>
        <w:t>ниже</w:t>
      </w:r>
      <w:r w:rsidR="006844E9">
        <w:rPr>
          <w:i/>
        </w:rPr>
        <w:t xml:space="preserve"> уровня </w:t>
      </w:r>
      <w:r w:rsidR="005612D2">
        <w:rPr>
          <w:i/>
        </w:rPr>
        <w:t>прошлого года</w:t>
      </w:r>
      <w:r w:rsidR="006844E9">
        <w:rPr>
          <w:i/>
        </w:rPr>
        <w:t xml:space="preserve"> </w:t>
      </w:r>
      <w:r w:rsidR="00FD26F7">
        <w:rPr>
          <w:i/>
        </w:rPr>
        <w:t>на</w:t>
      </w:r>
      <w:r w:rsidR="005612D2">
        <w:rPr>
          <w:i/>
        </w:rPr>
        <w:t xml:space="preserve"> </w:t>
      </w:r>
      <w:r w:rsidR="00FD26F7">
        <w:rPr>
          <w:i/>
        </w:rPr>
        <w:t>7,6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 xml:space="preserve">В структуре безвозмездных поступлений наибольший удельный вес занимают </w:t>
      </w:r>
      <w:r w:rsidR="00544FFB">
        <w:t>дотаци</w:t>
      </w:r>
      <w:r w:rsidR="002E45AA">
        <w:t>и (</w:t>
      </w:r>
      <w:r w:rsidR="00727962">
        <w:t>42,5</w:t>
      </w:r>
      <w:r w:rsidR="002E45AA">
        <w:t xml:space="preserve">%) и </w:t>
      </w:r>
      <w:r w:rsidR="00544FFB">
        <w:t>субсидии</w:t>
      </w:r>
      <w:r w:rsidR="002E45AA">
        <w:t xml:space="preserve"> (</w:t>
      </w:r>
      <w:r w:rsidR="00727962">
        <w:t>34,6</w:t>
      </w:r>
      <w:r w:rsidR="002E45AA">
        <w:t>%)</w:t>
      </w:r>
      <w:r>
        <w:t xml:space="preserve">. Доля </w:t>
      </w:r>
      <w:r w:rsidR="00825472">
        <w:t>субвенций</w:t>
      </w:r>
      <w:r>
        <w:t xml:space="preserve"> в структуре безвозмездных зачислений составляет </w:t>
      </w:r>
      <w:r w:rsidR="00825472">
        <w:t>1,</w:t>
      </w:r>
      <w:r w:rsidR="00727962">
        <w:t>0</w:t>
      </w:r>
      <w:r>
        <w:t>%.</w:t>
      </w:r>
      <w:r w:rsidR="00314B60">
        <w:t xml:space="preserve"> </w:t>
      </w:r>
      <w:r>
        <w:t xml:space="preserve">Доля </w:t>
      </w:r>
      <w:r w:rsidR="00825472">
        <w:t>межбюджетных зачислений</w:t>
      </w:r>
      <w:r w:rsidR="002E45AA" w:rsidRPr="002E45AA">
        <w:rPr>
          <w:sz w:val="22"/>
          <w:szCs w:val="22"/>
        </w:rPr>
        <w:t xml:space="preserve"> </w:t>
      </w:r>
      <w:r>
        <w:t xml:space="preserve">составляет </w:t>
      </w:r>
      <w:r w:rsidR="00727962">
        <w:t>21,9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BA50E9">
        <w:rPr>
          <w:i/>
        </w:rPr>
        <w:t>2183,3</w:t>
      </w:r>
      <w:r w:rsidR="00023AA4">
        <w:rPr>
          <w:i/>
        </w:rPr>
        <w:t>8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BA50E9">
        <w:t>81,6</w:t>
      </w:r>
      <w:r>
        <w:t xml:space="preserve">% от уточненных бюджетных назначений и на </w:t>
      </w:r>
      <w:r w:rsidR="00023AA4">
        <w:t>145,8</w:t>
      </w:r>
      <w:r w:rsidRPr="00157F84">
        <w:rPr>
          <w:i/>
        </w:rPr>
        <w:t xml:space="preserve"> тыс.рублей</w:t>
      </w:r>
      <w:r>
        <w:t xml:space="preserve">, или на </w:t>
      </w:r>
      <w:r w:rsidR="00023AA4">
        <w:t>5,8</w:t>
      </w:r>
      <w:r>
        <w:t xml:space="preserve">% </w:t>
      </w:r>
      <w:r w:rsidR="00023AA4">
        <w:t>ниже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2C3D40" w:rsidTr="002C3D40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D40" w:rsidRDefault="002C3D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2977,0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019CD" w:rsidRDefault="002C3D4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019CD" w:rsidRDefault="002C3D40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3497,8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b/>
                <w:sz w:val="20"/>
                <w:szCs w:val="20"/>
              </w:rPr>
            </w:pPr>
            <w:r w:rsidRPr="002C3D40">
              <w:rPr>
                <w:b/>
                <w:sz w:val="20"/>
                <w:szCs w:val="20"/>
              </w:rPr>
              <w:t>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b/>
                <w:sz w:val="20"/>
                <w:szCs w:val="20"/>
              </w:rPr>
            </w:pPr>
            <w:r w:rsidRPr="002C3D40">
              <w:rPr>
                <w:b/>
                <w:sz w:val="20"/>
                <w:szCs w:val="20"/>
              </w:rPr>
              <w:t>117,5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1385,2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4303FB" w:rsidRDefault="002C3D40" w:rsidP="00301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150,2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99,3</w:t>
            </w:r>
          </w:p>
        </w:tc>
      </w:tr>
      <w:tr w:rsidR="002C3D40" w:rsidTr="00D5694F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D40" w:rsidRPr="000A5DD1" w:rsidRDefault="002C3D40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center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 xml:space="preserve">          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center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 xml:space="preserve">                 0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1832,1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94,5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261,0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995991" w:rsidRDefault="002C3D40" w:rsidP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15,0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157,9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116,4</w:t>
            </w:r>
          </w:p>
        </w:tc>
      </w:tr>
      <w:tr w:rsidR="002C3D40" w:rsidTr="002C3D40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D40" w:rsidRDefault="002C3D4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D40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126CDB" w:rsidRDefault="002C3D40" w:rsidP="007D6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0A5DD1" w:rsidRDefault="002C3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D40" w:rsidRPr="002C3D40" w:rsidRDefault="002C3D40">
            <w:pPr>
              <w:jc w:val="right"/>
              <w:rPr>
                <w:sz w:val="20"/>
                <w:szCs w:val="20"/>
              </w:rPr>
            </w:pPr>
            <w:r w:rsidRPr="002C3D40">
              <w:rPr>
                <w:sz w:val="20"/>
                <w:szCs w:val="20"/>
              </w:rPr>
              <w:t>111,1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44C4F" w:rsidP="00AA4210">
      <w:pPr>
        <w:ind w:right="-365" w:firstLine="720"/>
        <w:jc w:val="both"/>
        <w:textAlignment w:val="top"/>
      </w:pPr>
      <w:r>
        <w:t>Национальная экономика</w:t>
      </w:r>
      <w:r w:rsidR="00AA4210">
        <w:t xml:space="preserve"> – </w:t>
      </w:r>
      <w:r>
        <w:t>49,5</w:t>
      </w:r>
      <w:r w:rsidR="00AA4210">
        <w:t>%;</w:t>
      </w:r>
    </w:p>
    <w:p w:rsidR="00AA4210" w:rsidRDefault="00DA2F51" w:rsidP="00AA4210">
      <w:pPr>
        <w:ind w:right="-365" w:firstLine="720"/>
        <w:jc w:val="both"/>
        <w:textAlignment w:val="top"/>
      </w:pPr>
      <w:r>
        <w:t>общегосударственные вопросы</w:t>
      </w:r>
      <w:r w:rsidR="00AA4210">
        <w:t xml:space="preserve"> – </w:t>
      </w:r>
      <w:r w:rsidR="00C05050">
        <w:t>3</w:t>
      </w:r>
      <w:r w:rsidR="00A44C4F">
        <w:t>9</w:t>
      </w:r>
      <w:r w:rsidR="00C05050">
        <w:t>,3</w:t>
      </w:r>
      <w:r w:rsidR="00AA4210"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822C1F">
        <w:t>возросли</w:t>
      </w:r>
      <w:r w:rsidR="002F2D59">
        <w:t xml:space="preserve"> на </w:t>
      </w:r>
      <w:r w:rsidR="00A44C4F">
        <w:t>17,5</w:t>
      </w:r>
      <w:r w:rsidR="002F2D59">
        <w:t>%</w:t>
      </w:r>
      <w:r>
        <w:t>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6A4F5E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A44C4F">
        <w:rPr>
          <w:b/>
        </w:rPr>
        <w:t>Национальная экономика</w:t>
      </w:r>
      <w:r w:rsidRPr="00A86D80">
        <w:rPr>
          <w:b/>
        </w:rPr>
        <w:t>»</w:t>
      </w:r>
      <w:r>
        <w:t xml:space="preserve"> в отчетном периоде направлено </w:t>
      </w:r>
      <w:r w:rsidR="00A44C4F">
        <w:rPr>
          <w:i/>
        </w:rPr>
        <w:t>1730,6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>,</w:t>
      </w:r>
      <w:r w:rsidR="000362D8">
        <w:t xml:space="preserve"> что составило </w:t>
      </w:r>
      <w:r w:rsidR="00A44C4F">
        <w:t>94,5</w:t>
      </w:r>
      <w:r>
        <w:t xml:space="preserve">% </w:t>
      </w:r>
      <w:r w:rsidR="00D5694F">
        <w:t>от</w:t>
      </w:r>
      <w:r>
        <w:t xml:space="preserve"> утвержденны</w:t>
      </w:r>
      <w:r w:rsidR="00D5694F">
        <w:t>х бюджетных</w:t>
      </w:r>
      <w:r>
        <w:t xml:space="preserve"> назначени</w:t>
      </w:r>
      <w:r w:rsidR="00D5694F">
        <w:t>й</w:t>
      </w:r>
      <w:r>
        <w:t xml:space="preserve"> в сумме </w:t>
      </w:r>
      <w:r w:rsidR="00A44C4F">
        <w:rPr>
          <w:i/>
        </w:rPr>
        <w:t>1832,1</w:t>
      </w:r>
      <w:r w:rsidRPr="00F95975">
        <w:rPr>
          <w:i/>
        </w:rPr>
        <w:t xml:space="preserve"> тыс.рублей</w:t>
      </w:r>
      <w:r>
        <w:t xml:space="preserve">. </w:t>
      </w:r>
      <w:r w:rsidR="006A4F5E">
        <w:t>В рамках данного раздела, по программе поддержки местных инициатив, произведен</w:t>
      </w:r>
      <w:r w:rsidR="000362D8">
        <w:t xml:space="preserve"> ремонт автодороги </w:t>
      </w:r>
      <w:proofErr w:type="gramStart"/>
      <w:r w:rsidR="000362D8">
        <w:t>в</w:t>
      </w:r>
      <w:proofErr w:type="gramEnd"/>
      <w:r w:rsidR="000362D8">
        <w:t xml:space="preserve"> с. </w:t>
      </w:r>
      <w:proofErr w:type="spellStart"/>
      <w:r w:rsidR="000362D8">
        <w:t>Милеево</w:t>
      </w:r>
      <w:proofErr w:type="spellEnd"/>
      <w:r w:rsidR="006A4F5E">
        <w:t>.</w:t>
      </w:r>
    </w:p>
    <w:p w:rsidR="00241FAD" w:rsidRDefault="006A4F5E" w:rsidP="006A4F5E">
      <w:pPr>
        <w:ind w:right="-365"/>
        <w:jc w:val="both"/>
        <w:textAlignment w:val="top"/>
      </w:pPr>
      <w:r>
        <w:t xml:space="preserve">          </w:t>
      </w:r>
      <w:r w:rsidR="00AA4210">
        <w:t xml:space="preserve">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822C1F">
        <w:t xml:space="preserve">более чем в </w:t>
      </w:r>
      <w:r w:rsidR="000362D8">
        <w:t>2</w:t>
      </w:r>
      <w:r w:rsidR="00822C1F">
        <w:t xml:space="preserve"> раз</w:t>
      </w:r>
      <w:r w:rsidR="000362D8">
        <w:t>а</w:t>
      </w:r>
      <w:r w:rsidR="001D5E12">
        <w:t>.</w:t>
      </w:r>
      <w:r w:rsidR="00AA4210">
        <w:rPr>
          <w:i/>
        </w:rPr>
        <w:t xml:space="preserve"> </w:t>
      </w:r>
      <w:r w:rsidR="00AA4210">
        <w:t xml:space="preserve">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CC3152">
        <w:rPr>
          <w:b/>
        </w:rPr>
        <w:t>Общегосударственные вопросы</w:t>
      </w:r>
      <w:r w:rsidRPr="00A86D80">
        <w:rPr>
          <w:b/>
        </w:rPr>
        <w:t>»</w:t>
      </w:r>
      <w:r>
        <w:t xml:space="preserve"> направлено средств на сумму </w:t>
      </w:r>
      <w:r w:rsidR="002841D9">
        <w:rPr>
          <w:i/>
        </w:rPr>
        <w:t>1374,9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2841D9">
        <w:t>что составило</w:t>
      </w:r>
      <w:r w:rsidR="00540D44">
        <w:t xml:space="preserve"> </w:t>
      </w:r>
      <w:r w:rsidR="002841D9">
        <w:t>99,3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2841D9">
        <w:t>возросли</w:t>
      </w:r>
      <w:r>
        <w:t xml:space="preserve"> на </w:t>
      </w:r>
      <w:r w:rsidR="002841D9">
        <w:t>50,2</w:t>
      </w:r>
      <w:r>
        <w:t>%.</w:t>
      </w:r>
      <w:r w:rsidRPr="005011C6">
        <w:t xml:space="preserve"> </w:t>
      </w:r>
    </w:p>
    <w:p w:rsidR="00CC3152" w:rsidRPr="00CC3152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CC3152">
        <w:t>возросли расходы по разделу «</w:t>
      </w:r>
      <w:r w:rsidR="002841D9">
        <w:t>Охрана окружающей среды</w:t>
      </w:r>
      <w:r w:rsidR="000A1236">
        <w:t xml:space="preserve">», </w:t>
      </w:r>
      <w:r w:rsidR="002841D9">
        <w:t>на 57,9%</w:t>
      </w:r>
      <w:r w:rsidR="00CC3152">
        <w:t>.</w:t>
      </w:r>
    </w:p>
    <w:p w:rsidR="00612868" w:rsidRDefault="00CC3152" w:rsidP="00AA4210">
      <w:pPr>
        <w:ind w:right="-365" w:firstLine="720"/>
        <w:jc w:val="both"/>
        <w:textAlignment w:val="top"/>
      </w:pPr>
      <w:r>
        <w:t>Наряду с ростом</w:t>
      </w:r>
      <w:r w:rsidR="000A1236">
        <w:t xml:space="preserve">, следует отметить </w:t>
      </w:r>
      <w:r w:rsidR="002841D9">
        <w:t xml:space="preserve">значительное сокращение расходов </w:t>
      </w:r>
      <w:r w:rsidR="000A1236">
        <w:t xml:space="preserve">по </w:t>
      </w:r>
      <w:r>
        <w:t>разделу «</w:t>
      </w:r>
      <w:proofErr w:type="spellStart"/>
      <w:r w:rsidR="002841D9">
        <w:t>Жилищно-комммунальное</w:t>
      </w:r>
      <w:proofErr w:type="spellEnd"/>
      <w:r w:rsidR="002841D9">
        <w:t xml:space="preserve"> хозяйство</w:t>
      </w:r>
      <w:r>
        <w:t>»,</w:t>
      </w:r>
      <w:r w:rsidR="002841D9">
        <w:t xml:space="preserve"> от уровня прошлого года они составили всего 15,0%.</w:t>
      </w:r>
      <w:r w:rsidR="000A1236">
        <w:t xml:space="preserve"> </w:t>
      </w: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</w:t>
      </w:r>
      <w:r w:rsidRPr="00BE0B7D">
        <w:rPr>
          <w:rStyle w:val="s3"/>
        </w:rPr>
        <w:t xml:space="preserve">сумме </w:t>
      </w:r>
      <w:r w:rsidR="00A15FD5">
        <w:rPr>
          <w:rStyle w:val="s3"/>
          <w:i/>
        </w:rPr>
        <w:t>3594,4</w:t>
      </w:r>
      <w:r w:rsidR="00504848">
        <w:rPr>
          <w:rStyle w:val="s3"/>
          <w:i/>
        </w:rPr>
        <w:t xml:space="preserve"> </w:t>
      </w:r>
      <w:r w:rsidRPr="00504848">
        <w:rPr>
          <w:i/>
        </w:rPr>
        <w:t>тыс.</w:t>
      </w:r>
      <w:r w:rsidRPr="00504848"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A15FD5">
        <w:rPr>
          <w:rStyle w:val="s3"/>
          <w:i/>
        </w:rPr>
        <w:t>3469,6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A15FD5">
        <w:rPr>
          <w:rStyle w:val="s3"/>
        </w:rPr>
        <w:t>96,5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lastRenderedPageBreak/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CD364F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«Содействие занятости населения в сельском поселении»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100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jc w:val="center"/>
            </w:pPr>
            <w:r>
              <w:t>25,0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ind w:right="-250"/>
              <w:jc w:val="center"/>
            </w:pPr>
            <w:r>
              <w:t>25,0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100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6B657A">
            <w:pPr>
              <w:jc w:val="center"/>
            </w:pPr>
            <w:r>
              <w:t>648,5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0B4963">
            <w:pPr>
              <w:ind w:right="-250"/>
              <w:jc w:val="center"/>
            </w:pPr>
            <w:r>
              <w:t>547,0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84,3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CD364F">
            <w:pPr>
              <w:jc w:val="center"/>
            </w:pPr>
            <w:r>
              <w:t>1313,4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ind w:right="-250"/>
              <w:jc w:val="center"/>
            </w:pPr>
            <w:r>
              <w:t>1313,4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100</w:t>
            </w:r>
          </w:p>
        </w:tc>
      </w:tr>
      <w:tr w:rsidR="00CD364F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jc w:val="center"/>
            </w:pPr>
            <w:r>
              <w:t>1355,1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ind w:right="-250"/>
              <w:jc w:val="center"/>
            </w:pPr>
            <w:r>
              <w:t>1344,7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EC0DA8">
            <w:pPr>
              <w:jc w:val="right"/>
            </w:pPr>
            <w:r>
              <w:t>99,2</w:t>
            </w:r>
          </w:p>
        </w:tc>
      </w:tr>
      <w:tr w:rsidR="00CD364F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A15FD5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proofErr w:type="spellStart"/>
            <w:r w:rsidR="00A15FD5">
              <w:t>Милеево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4978F5">
            <w:pPr>
              <w:jc w:val="center"/>
            </w:pPr>
            <w: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4978F5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100</w:t>
            </w:r>
          </w:p>
        </w:tc>
      </w:tr>
      <w:tr w:rsidR="00CD364F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A15FD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A15FD5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A15FD5">
              <w:t>С</w:t>
            </w:r>
            <w:r>
              <w:t xml:space="preserve">ело </w:t>
            </w:r>
            <w:proofErr w:type="spellStart"/>
            <w:r w:rsidR="00A15FD5">
              <w:t>Милеево</w:t>
            </w:r>
            <w:proofErr w:type="spellEnd"/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6B657A">
            <w:pPr>
              <w:jc w:val="center"/>
            </w:pPr>
            <w: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2841D9" w:rsidP="006B657A">
            <w:pPr>
              <w:ind w:right="-250"/>
              <w:jc w:val="center"/>
            </w:pPr>
            <w:r>
              <w:t>83,0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2157ED">
            <w:pPr>
              <w:jc w:val="right"/>
            </w:pPr>
            <w:r>
              <w:t>86,5</w:t>
            </w:r>
          </w:p>
        </w:tc>
      </w:tr>
      <w:tr w:rsidR="00CD364F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pStyle w:val="a4"/>
            </w:pPr>
            <w:r>
              <w:t>3594,4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4978F5">
            <w:pPr>
              <w:pStyle w:val="a4"/>
            </w:pPr>
            <w:r>
              <w:t>3469,6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7F4B7E" w:rsidRDefault="00D35959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96,5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AB0A00" w:rsidP="006B657A">
            <w:pPr>
              <w:ind w:right="-250"/>
              <w:jc w:val="center"/>
            </w:pPr>
            <w:r>
              <w:t>28,2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D35959">
            <w:pPr>
              <w:jc w:val="right"/>
            </w:pPr>
            <w:r>
              <w:t>78,1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AB0A00" w:rsidP="006B657A">
            <w:pPr>
              <w:jc w:val="center"/>
              <w:rPr>
                <w:b/>
              </w:rPr>
            </w:pPr>
            <w:r>
              <w:rPr>
                <w:b/>
              </w:rPr>
              <w:t>3630,5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AB0A00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3497,8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D35959">
            <w:pPr>
              <w:jc w:val="right"/>
            </w:pPr>
            <w:r>
              <w:t>96,3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78B" w:rsidRPr="00643751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A15FD5">
        <w:rPr>
          <w:rFonts w:ascii="Times New Roman" w:hAnsi="Times New Roman" w:cs="Times New Roman"/>
          <w:sz w:val="24"/>
          <w:szCs w:val="24"/>
        </w:rPr>
        <w:t>семи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A15FD5">
        <w:rPr>
          <w:rFonts w:ascii="Times New Roman" w:hAnsi="Times New Roman" w:cs="Times New Roman"/>
          <w:sz w:val="24"/>
          <w:szCs w:val="24"/>
        </w:rPr>
        <w:t>всем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программам</w:t>
      </w:r>
      <w:r w:rsidR="00643751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A15FD5">
        <w:rPr>
          <w:rFonts w:ascii="Times New Roman" w:hAnsi="Times New Roman" w:cs="Times New Roman"/>
          <w:sz w:val="24"/>
          <w:szCs w:val="24"/>
        </w:rPr>
        <w:t>100</w:t>
      </w:r>
      <w:r w:rsidR="00643751">
        <w:rPr>
          <w:rFonts w:ascii="Times New Roman" w:hAnsi="Times New Roman" w:cs="Times New Roman"/>
          <w:sz w:val="24"/>
          <w:szCs w:val="24"/>
        </w:rPr>
        <w:t>,0%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A15FD5">
        <w:rPr>
          <w:rFonts w:ascii="Times New Roman" w:hAnsi="Times New Roman" w:cs="Times New Roman"/>
          <w:sz w:val="24"/>
          <w:szCs w:val="24"/>
        </w:rPr>
        <w:t>четырем</w:t>
      </w:r>
      <w:r w:rsidR="00643751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A15FD5">
        <w:rPr>
          <w:rFonts w:ascii="Times New Roman" w:hAnsi="Times New Roman" w:cs="Times New Roman"/>
          <w:sz w:val="24"/>
          <w:szCs w:val="24"/>
        </w:rPr>
        <w:t>57,1%</w:t>
      </w:r>
      <w:r w:rsidRPr="0090790D">
        <w:rPr>
          <w:rFonts w:ascii="Times New Roman" w:hAnsi="Times New Roman" w:cs="Times New Roman"/>
          <w:sz w:val="24"/>
          <w:szCs w:val="24"/>
        </w:rPr>
        <w:t xml:space="preserve"> от всех программ, в диапазоне исполнения от 90 до 100% - </w:t>
      </w:r>
      <w:r w:rsidR="00643751">
        <w:rPr>
          <w:rFonts w:ascii="Times New Roman" w:hAnsi="Times New Roman" w:cs="Times New Roman"/>
          <w:sz w:val="24"/>
          <w:szCs w:val="24"/>
        </w:rPr>
        <w:t>одной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43751">
        <w:rPr>
          <w:rFonts w:ascii="Times New Roman" w:hAnsi="Times New Roman" w:cs="Times New Roman"/>
          <w:sz w:val="24"/>
          <w:szCs w:val="24"/>
        </w:rPr>
        <w:t>е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643751">
        <w:rPr>
          <w:rFonts w:ascii="Times New Roman" w:hAnsi="Times New Roman" w:cs="Times New Roman"/>
          <w:sz w:val="24"/>
          <w:szCs w:val="24"/>
        </w:rPr>
        <w:t>1</w:t>
      </w:r>
      <w:r w:rsidR="00A15FD5">
        <w:rPr>
          <w:rFonts w:ascii="Times New Roman" w:hAnsi="Times New Roman" w:cs="Times New Roman"/>
          <w:sz w:val="24"/>
          <w:szCs w:val="24"/>
        </w:rPr>
        <w:t>4,3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A15FD5">
        <w:rPr>
          <w:rFonts w:ascii="Times New Roman" w:hAnsi="Times New Roman" w:cs="Times New Roman"/>
          <w:sz w:val="24"/>
          <w:szCs w:val="24"/>
        </w:rPr>
        <w:t xml:space="preserve">По двум программам исполнение находится в диапазоне от 80% до 90%. 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643751">
        <w:t>9</w:t>
      </w:r>
      <w:r w:rsidR="00A15FD5">
        <w:t>9,2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7A50D7">
        <w:t>3</w:t>
      </w:r>
      <w:r w:rsidR="005F2C4D">
        <w:t>,0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</w:t>
      </w:r>
      <w:r w:rsidR="00433629">
        <w:t>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</w:t>
      </w:r>
      <w:r w:rsidR="007A50D7">
        <w:t>с</w:t>
      </w:r>
      <w:r w:rsidR="00433629">
        <w:t xml:space="preserve"> д</w:t>
      </w:r>
      <w:r w:rsidR="007A50D7">
        <w:t>е</w:t>
      </w:r>
      <w:r w:rsidR="00DB4B89">
        <w:t>фи</w:t>
      </w:r>
      <w:r w:rsidR="00433629">
        <w:t>цит</w:t>
      </w:r>
      <w:r w:rsidR="007A50D7">
        <w:t xml:space="preserve">ом в сумме </w:t>
      </w:r>
      <w:r w:rsidR="007A50D7" w:rsidRPr="007A50D7">
        <w:rPr>
          <w:i/>
        </w:rPr>
        <w:t>276,3 тыс</w:t>
      </w:r>
      <w:proofErr w:type="gramStart"/>
      <w:r w:rsidR="007A50D7" w:rsidRPr="007A50D7">
        <w:rPr>
          <w:i/>
        </w:rPr>
        <w:t>.р</w:t>
      </w:r>
      <w:proofErr w:type="gramEnd"/>
      <w:r w:rsidR="007A50D7" w:rsidRPr="007A50D7">
        <w:rPr>
          <w:i/>
        </w:rPr>
        <w:t>ублей</w:t>
      </w:r>
      <w:r w:rsidRPr="0026756E">
        <w:rPr>
          <w:i/>
        </w:rPr>
        <w:t>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7A50D7" w:rsidRPr="007A50D7">
        <w:rPr>
          <w:rStyle w:val="s4"/>
          <w:i/>
        </w:rPr>
        <w:t>66,7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lastRenderedPageBreak/>
        <w:t xml:space="preserve">           Муниципальный долг сельскому поселению решением </w:t>
      </w:r>
      <w:r w:rsidR="00433629">
        <w:t>Сельской Думы</w:t>
      </w:r>
      <w:r>
        <w:t xml:space="preserve">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</w:t>
      </w:r>
      <w:r w:rsidR="00DB4B89">
        <w:t xml:space="preserve">начало и </w:t>
      </w:r>
      <w:r w:rsidR="0059678B">
        <w:t xml:space="preserve">конец года </w:t>
      </w:r>
      <w:r w:rsidR="0098082F">
        <w:t xml:space="preserve">составляла по </w:t>
      </w:r>
      <w:r w:rsidR="0098082F" w:rsidRPr="0098082F">
        <w:rPr>
          <w:i/>
        </w:rPr>
        <w:t>0,1 тыс</w:t>
      </w:r>
      <w:proofErr w:type="gramStart"/>
      <w:r w:rsidR="0059678B">
        <w:rPr>
          <w:i/>
        </w:rPr>
        <w:t>.</w:t>
      </w:r>
      <w:r w:rsidR="0098082F">
        <w:rPr>
          <w:i/>
        </w:rPr>
        <w:t>р</w:t>
      </w:r>
      <w:proofErr w:type="gramEnd"/>
      <w:r w:rsidR="0098082F">
        <w:rPr>
          <w:i/>
        </w:rPr>
        <w:t>ублей.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она </w:t>
      </w:r>
      <w:r w:rsidR="00DB4B89">
        <w:t>снижена</w:t>
      </w:r>
      <w:r w:rsidR="0059678B">
        <w:t xml:space="preserve"> на сумму </w:t>
      </w:r>
      <w:r w:rsidR="0098082F" w:rsidRPr="0098082F">
        <w:rPr>
          <w:i/>
        </w:rPr>
        <w:t>4,4</w:t>
      </w:r>
      <w:r w:rsidR="0059678B" w:rsidRPr="0098082F">
        <w:rPr>
          <w:i/>
        </w:rPr>
        <w:t xml:space="preserve"> тыс</w:t>
      </w:r>
      <w:proofErr w:type="gramStart"/>
      <w:r w:rsidR="0059678B" w:rsidRPr="0098082F">
        <w:rPr>
          <w:i/>
        </w:rPr>
        <w:t>.р</w:t>
      </w:r>
      <w:proofErr w:type="gramEnd"/>
      <w:r w:rsidR="0059678B" w:rsidRPr="0098082F">
        <w:rPr>
          <w:i/>
        </w:rPr>
        <w:t>ублей</w:t>
      </w:r>
      <w:r>
        <w:t xml:space="preserve"> и составила </w:t>
      </w:r>
      <w:r w:rsidR="0098082F">
        <w:rPr>
          <w:i/>
        </w:rPr>
        <w:t>6,8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proofErr w:type="spellStart"/>
      <w:r w:rsidR="0098082F">
        <w:t>Милеево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proofErr w:type="spellStart"/>
      <w:r w:rsidR="0098082F">
        <w:t>Милеево</w:t>
      </w:r>
      <w:proofErr w:type="spellEnd"/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proofErr w:type="spellStart"/>
      <w:r w:rsidR="0098082F">
        <w:t>Милеево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98082F">
        <w:rPr>
          <w:i/>
        </w:rPr>
        <w:t>3564,5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98082F">
        <w:t>99,5</w:t>
      </w:r>
      <w:r w:rsidR="0010661E">
        <w:t xml:space="preserve">% </w:t>
      </w:r>
      <w:r w:rsidR="00311435">
        <w:t>выше</w:t>
      </w:r>
      <w:r w:rsidR="00F04983">
        <w:t xml:space="preserve">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98082F">
        <w:t>106,3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на </w:t>
      </w:r>
      <w:r w:rsidR="0098082F">
        <w:t>14,1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98082F">
        <w:rPr>
          <w:i/>
        </w:rPr>
        <w:t>3497,8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98082F">
        <w:t>95,8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98082F">
        <w:t>96,3</w:t>
      </w:r>
      <w:r>
        <w:t xml:space="preserve">% к уточненному, по отношению к прошлому году общие расходы </w:t>
      </w:r>
      <w:r w:rsidR="00AE1A1C">
        <w:t>возросли</w:t>
      </w:r>
      <w:r w:rsidR="00F04983">
        <w:t xml:space="preserve"> на </w:t>
      </w:r>
      <w:r w:rsidR="00B96A78">
        <w:t>17</w:t>
      </w:r>
      <w:r w:rsidR="0010661E">
        <w:t>,</w:t>
      </w:r>
      <w:r w:rsidR="00AE1A1C">
        <w:t>5</w:t>
      </w:r>
      <w:r>
        <w:t>%;</w:t>
      </w:r>
    </w:p>
    <w:p w:rsidR="002B21FB" w:rsidRDefault="002B21FB" w:rsidP="002B21FB">
      <w:pPr>
        <w:jc w:val="both"/>
      </w:pPr>
      <w:r>
        <w:lastRenderedPageBreak/>
        <w:t xml:space="preserve">-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B96A78">
        <w:t>66,7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B96A78">
        <w:t>81,3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B96A78">
        <w:rPr>
          <w:rStyle w:val="s3"/>
        </w:rPr>
        <w:t>6</w:t>
      </w:r>
      <w:r>
        <w:rPr>
          <w:rStyle w:val="s3"/>
        </w:rPr>
        <w:t xml:space="preserve"> муниципальных программ и по </w:t>
      </w:r>
      <w:r w:rsidR="007F4B7E">
        <w:rPr>
          <w:rStyle w:val="s3"/>
        </w:rPr>
        <w:t>одной</w:t>
      </w:r>
      <w:r>
        <w:rPr>
          <w:rStyle w:val="s3"/>
        </w:rPr>
        <w:t xml:space="preserve"> программ</w:t>
      </w:r>
      <w:r w:rsidR="007F4B7E">
        <w:rPr>
          <w:rStyle w:val="s3"/>
        </w:rPr>
        <w:t>е</w:t>
      </w:r>
      <w:r>
        <w:rPr>
          <w:rStyle w:val="s3"/>
        </w:rPr>
        <w:t xml:space="preserve">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B96A78">
        <w:rPr>
          <w:rStyle w:val="s3"/>
          <w:i/>
        </w:rPr>
        <w:t>3469,6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</w:t>
      </w:r>
      <w:r w:rsidR="00B96A78">
        <w:rPr>
          <w:rStyle w:val="s3"/>
        </w:rPr>
        <w:t>96,5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</w:t>
      </w:r>
      <w:r w:rsidR="007F4B7E">
        <w:t>начало и</w:t>
      </w:r>
      <w:r w:rsidR="00BF6792">
        <w:t xml:space="preserve"> конец года не изменилась и составила </w:t>
      </w:r>
      <w:r w:rsidR="00BF6792" w:rsidRPr="00BF6792">
        <w:rPr>
          <w:i/>
        </w:rPr>
        <w:t>0,1тыс</w:t>
      </w:r>
      <w:proofErr w:type="gramStart"/>
      <w:r w:rsidR="00BF6792" w:rsidRPr="00BF6792">
        <w:rPr>
          <w:i/>
        </w:rPr>
        <w:t>.р</w:t>
      </w:r>
      <w:proofErr w:type="gramEnd"/>
      <w:r w:rsidR="00BF6792" w:rsidRPr="00BF6792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 xml:space="preserve">немного </w:t>
      </w:r>
      <w:r w:rsidR="007F4B7E">
        <w:t>снижена</w:t>
      </w:r>
      <w:r w:rsidR="00256006">
        <w:t xml:space="preserve"> </w:t>
      </w:r>
      <w:r w:rsidR="006B657A">
        <w:t>(</w:t>
      </w:r>
      <w:r w:rsidR="007F4B7E">
        <w:t>мину</w:t>
      </w:r>
      <w:r w:rsidR="00256006">
        <w:t>с</w:t>
      </w:r>
      <w:r w:rsidR="006B657A">
        <w:t xml:space="preserve"> </w:t>
      </w:r>
      <w:r w:rsidR="00BF6792">
        <w:t>4,4</w:t>
      </w:r>
      <w:r w:rsidR="006B657A">
        <w:t xml:space="preserve"> тыс</w:t>
      </w:r>
      <w:proofErr w:type="gramStart"/>
      <w:r w:rsidR="006B657A">
        <w:t>.р</w:t>
      </w:r>
      <w:proofErr w:type="gramEnd"/>
      <w:r w:rsidR="006B657A">
        <w:t xml:space="preserve">ублей) и </w:t>
      </w:r>
      <w:r>
        <w:t>составила</w:t>
      </w:r>
      <w:r w:rsidR="00DE28CA">
        <w:t xml:space="preserve"> </w:t>
      </w:r>
      <w:r w:rsidR="00BF6792">
        <w:t>6,8</w:t>
      </w:r>
      <w:r w:rsidR="00DE28CA">
        <w:t xml:space="preserve">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BF6792">
        <w:rPr>
          <w:rFonts w:ascii="Times New Roman" w:hAnsi="Times New Roman" w:cs="Times New Roman"/>
          <w:sz w:val="24"/>
          <w:szCs w:val="24"/>
        </w:rPr>
        <w:t>Милеево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proofErr w:type="spellStart"/>
      <w:r w:rsidR="00BF6792">
        <w:t>Милеево</w:t>
      </w:r>
      <w:proofErr w:type="spellEnd"/>
      <w:r w:rsidR="00CE0F93">
        <w:t xml:space="preserve"> 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</w:t>
      </w:r>
      <w:r w:rsidR="000558CE">
        <w:t xml:space="preserve"> отчета об исполнении бюджета </w:t>
      </w:r>
      <w:r>
        <w:t>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06A7D"/>
    <w:rsid w:val="00015A6C"/>
    <w:rsid w:val="0002281C"/>
    <w:rsid w:val="0002366F"/>
    <w:rsid w:val="00023A1A"/>
    <w:rsid w:val="00023AA4"/>
    <w:rsid w:val="00035971"/>
    <w:rsid w:val="000362D8"/>
    <w:rsid w:val="00037415"/>
    <w:rsid w:val="000428BA"/>
    <w:rsid w:val="00054C7D"/>
    <w:rsid w:val="000558CE"/>
    <w:rsid w:val="00082EA4"/>
    <w:rsid w:val="00083D3B"/>
    <w:rsid w:val="00084707"/>
    <w:rsid w:val="0009626C"/>
    <w:rsid w:val="000A1236"/>
    <w:rsid w:val="000A2D18"/>
    <w:rsid w:val="000A5DD1"/>
    <w:rsid w:val="000A6042"/>
    <w:rsid w:val="000A6920"/>
    <w:rsid w:val="000B4963"/>
    <w:rsid w:val="000B72C9"/>
    <w:rsid w:val="000D4265"/>
    <w:rsid w:val="000D6D15"/>
    <w:rsid w:val="000E0F36"/>
    <w:rsid w:val="000E75FA"/>
    <w:rsid w:val="000F2D34"/>
    <w:rsid w:val="00102018"/>
    <w:rsid w:val="00105CC2"/>
    <w:rsid w:val="0010661E"/>
    <w:rsid w:val="00115779"/>
    <w:rsid w:val="00120FCE"/>
    <w:rsid w:val="00122EF3"/>
    <w:rsid w:val="0012559C"/>
    <w:rsid w:val="00126B2F"/>
    <w:rsid w:val="00126CDB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C2724"/>
    <w:rsid w:val="001C275B"/>
    <w:rsid w:val="001C2F6F"/>
    <w:rsid w:val="001D5E12"/>
    <w:rsid w:val="001E1E90"/>
    <w:rsid w:val="001E4419"/>
    <w:rsid w:val="001E7A0E"/>
    <w:rsid w:val="002019CD"/>
    <w:rsid w:val="002119E4"/>
    <w:rsid w:val="00214733"/>
    <w:rsid w:val="002157ED"/>
    <w:rsid w:val="00221CC9"/>
    <w:rsid w:val="00226658"/>
    <w:rsid w:val="0023303A"/>
    <w:rsid w:val="0023505E"/>
    <w:rsid w:val="00240C3B"/>
    <w:rsid w:val="00241FAD"/>
    <w:rsid w:val="00255373"/>
    <w:rsid w:val="00256006"/>
    <w:rsid w:val="0026756E"/>
    <w:rsid w:val="00270238"/>
    <w:rsid w:val="002841D9"/>
    <w:rsid w:val="002863CC"/>
    <w:rsid w:val="00294ABC"/>
    <w:rsid w:val="002B21FB"/>
    <w:rsid w:val="002C276B"/>
    <w:rsid w:val="002C2EB9"/>
    <w:rsid w:val="002C3D40"/>
    <w:rsid w:val="002D3DEF"/>
    <w:rsid w:val="002D3EFD"/>
    <w:rsid w:val="002E08E1"/>
    <w:rsid w:val="002E3509"/>
    <w:rsid w:val="002E45AA"/>
    <w:rsid w:val="002F2D59"/>
    <w:rsid w:val="00301F5B"/>
    <w:rsid w:val="003049C5"/>
    <w:rsid w:val="00304D0C"/>
    <w:rsid w:val="003058CF"/>
    <w:rsid w:val="00311435"/>
    <w:rsid w:val="00312580"/>
    <w:rsid w:val="00313526"/>
    <w:rsid w:val="00314B60"/>
    <w:rsid w:val="00320185"/>
    <w:rsid w:val="00320776"/>
    <w:rsid w:val="00320ED9"/>
    <w:rsid w:val="00321A78"/>
    <w:rsid w:val="00333E9A"/>
    <w:rsid w:val="00347833"/>
    <w:rsid w:val="00361268"/>
    <w:rsid w:val="003677F9"/>
    <w:rsid w:val="003703EF"/>
    <w:rsid w:val="003A492A"/>
    <w:rsid w:val="003B2FF1"/>
    <w:rsid w:val="003B3933"/>
    <w:rsid w:val="003B7874"/>
    <w:rsid w:val="003C0301"/>
    <w:rsid w:val="003D1E00"/>
    <w:rsid w:val="003D3A64"/>
    <w:rsid w:val="003E202A"/>
    <w:rsid w:val="003E6B74"/>
    <w:rsid w:val="003F61BA"/>
    <w:rsid w:val="003F6BA8"/>
    <w:rsid w:val="004028FC"/>
    <w:rsid w:val="0042182D"/>
    <w:rsid w:val="004255C5"/>
    <w:rsid w:val="004303FB"/>
    <w:rsid w:val="00433629"/>
    <w:rsid w:val="00454F14"/>
    <w:rsid w:val="00466C65"/>
    <w:rsid w:val="00467F1D"/>
    <w:rsid w:val="00475A16"/>
    <w:rsid w:val="00483AE3"/>
    <w:rsid w:val="00494B73"/>
    <w:rsid w:val="00496FB2"/>
    <w:rsid w:val="004978F5"/>
    <w:rsid w:val="004A1E1C"/>
    <w:rsid w:val="004A3D4A"/>
    <w:rsid w:val="004C6DF1"/>
    <w:rsid w:val="004D1C1F"/>
    <w:rsid w:val="004D3F15"/>
    <w:rsid w:val="004D710B"/>
    <w:rsid w:val="004E0540"/>
    <w:rsid w:val="004F3870"/>
    <w:rsid w:val="004F6D00"/>
    <w:rsid w:val="0050129C"/>
    <w:rsid w:val="00504290"/>
    <w:rsid w:val="00504848"/>
    <w:rsid w:val="00526876"/>
    <w:rsid w:val="00533C7D"/>
    <w:rsid w:val="005351EA"/>
    <w:rsid w:val="00536154"/>
    <w:rsid w:val="005404FA"/>
    <w:rsid w:val="00540D44"/>
    <w:rsid w:val="00544FFB"/>
    <w:rsid w:val="005612D2"/>
    <w:rsid w:val="00565C3A"/>
    <w:rsid w:val="005854CA"/>
    <w:rsid w:val="0059678B"/>
    <w:rsid w:val="005A0C76"/>
    <w:rsid w:val="005A6D62"/>
    <w:rsid w:val="005B14FB"/>
    <w:rsid w:val="005B1B7A"/>
    <w:rsid w:val="005C1F44"/>
    <w:rsid w:val="005D2327"/>
    <w:rsid w:val="005D45E7"/>
    <w:rsid w:val="005D6111"/>
    <w:rsid w:val="005F2C4D"/>
    <w:rsid w:val="005F30FC"/>
    <w:rsid w:val="005F7FBD"/>
    <w:rsid w:val="00601B68"/>
    <w:rsid w:val="00612868"/>
    <w:rsid w:val="00616560"/>
    <w:rsid w:val="00616A4D"/>
    <w:rsid w:val="00617452"/>
    <w:rsid w:val="00632025"/>
    <w:rsid w:val="006339A8"/>
    <w:rsid w:val="00643751"/>
    <w:rsid w:val="00643D99"/>
    <w:rsid w:val="00646D1B"/>
    <w:rsid w:val="00652926"/>
    <w:rsid w:val="006737DB"/>
    <w:rsid w:val="006773FA"/>
    <w:rsid w:val="0068273B"/>
    <w:rsid w:val="00682907"/>
    <w:rsid w:val="006844E9"/>
    <w:rsid w:val="006855B3"/>
    <w:rsid w:val="00690B44"/>
    <w:rsid w:val="00696DE1"/>
    <w:rsid w:val="006977F0"/>
    <w:rsid w:val="006A4D00"/>
    <w:rsid w:val="006A4F5E"/>
    <w:rsid w:val="006B19C3"/>
    <w:rsid w:val="006B657A"/>
    <w:rsid w:val="006C2CD1"/>
    <w:rsid w:val="006C4B87"/>
    <w:rsid w:val="006D5606"/>
    <w:rsid w:val="006E0DDE"/>
    <w:rsid w:val="006E22F4"/>
    <w:rsid w:val="006E4004"/>
    <w:rsid w:val="006F33A2"/>
    <w:rsid w:val="006F4AA7"/>
    <w:rsid w:val="006F7B8F"/>
    <w:rsid w:val="00727962"/>
    <w:rsid w:val="007301E8"/>
    <w:rsid w:val="00730C64"/>
    <w:rsid w:val="00747E26"/>
    <w:rsid w:val="007568CC"/>
    <w:rsid w:val="00760B35"/>
    <w:rsid w:val="00762DEA"/>
    <w:rsid w:val="0076500E"/>
    <w:rsid w:val="00767CD6"/>
    <w:rsid w:val="007737C4"/>
    <w:rsid w:val="00773A28"/>
    <w:rsid w:val="00774D6F"/>
    <w:rsid w:val="00775CFC"/>
    <w:rsid w:val="0078203E"/>
    <w:rsid w:val="007A50D7"/>
    <w:rsid w:val="007B380A"/>
    <w:rsid w:val="007D0322"/>
    <w:rsid w:val="007D2D10"/>
    <w:rsid w:val="007D4D91"/>
    <w:rsid w:val="007D6DF9"/>
    <w:rsid w:val="007E5608"/>
    <w:rsid w:val="007E62D9"/>
    <w:rsid w:val="007E703C"/>
    <w:rsid w:val="007F164A"/>
    <w:rsid w:val="007F4B7E"/>
    <w:rsid w:val="008044E4"/>
    <w:rsid w:val="00807C25"/>
    <w:rsid w:val="008171B9"/>
    <w:rsid w:val="00822C1F"/>
    <w:rsid w:val="00825472"/>
    <w:rsid w:val="00826AE8"/>
    <w:rsid w:val="00830F71"/>
    <w:rsid w:val="00832B91"/>
    <w:rsid w:val="00864FF1"/>
    <w:rsid w:val="00875EE4"/>
    <w:rsid w:val="00877486"/>
    <w:rsid w:val="00887FA9"/>
    <w:rsid w:val="008937AD"/>
    <w:rsid w:val="008A1E65"/>
    <w:rsid w:val="008A5A4F"/>
    <w:rsid w:val="008B11BE"/>
    <w:rsid w:val="008B4FCD"/>
    <w:rsid w:val="008B7D87"/>
    <w:rsid w:val="008C1AA6"/>
    <w:rsid w:val="008C42AF"/>
    <w:rsid w:val="008E17AD"/>
    <w:rsid w:val="008E21D5"/>
    <w:rsid w:val="008F060E"/>
    <w:rsid w:val="008F196B"/>
    <w:rsid w:val="00903EFE"/>
    <w:rsid w:val="00926F01"/>
    <w:rsid w:val="00944A37"/>
    <w:rsid w:val="00956186"/>
    <w:rsid w:val="009612C4"/>
    <w:rsid w:val="00976EEE"/>
    <w:rsid w:val="0098082F"/>
    <w:rsid w:val="00981535"/>
    <w:rsid w:val="00983105"/>
    <w:rsid w:val="00985FDC"/>
    <w:rsid w:val="00997FD6"/>
    <w:rsid w:val="009A3261"/>
    <w:rsid w:val="009B0C24"/>
    <w:rsid w:val="009B4843"/>
    <w:rsid w:val="009B50C2"/>
    <w:rsid w:val="009B688C"/>
    <w:rsid w:val="009D111A"/>
    <w:rsid w:val="009D2F80"/>
    <w:rsid w:val="009D6422"/>
    <w:rsid w:val="009E66FE"/>
    <w:rsid w:val="009E6A99"/>
    <w:rsid w:val="00A15FD5"/>
    <w:rsid w:val="00A16D9B"/>
    <w:rsid w:val="00A44754"/>
    <w:rsid w:val="00A44C4F"/>
    <w:rsid w:val="00A450DE"/>
    <w:rsid w:val="00A536D4"/>
    <w:rsid w:val="00A82572"/>
    <w:rsid w:val="00A83905"/>
    <w:rsid w:val="00A90768"/>
    <w:rsid w:val="00A91FDD"/>
    <w:rsid w:val="00AA0C88"/>
    <w:rsid w:val="00AA1736"/>
    <w:rsid w:val="00AA4210"/>
    <w:rsid w:val="00AB0A00"/>
    <w:rsid w:val="00AD0343"/>
    <w:rsid w:val="00AD0368"/>
    <w:rsid w:val="00AD58E2"/>
    <w:rsid w:val="00AE102F"/>
    <w:rsid w:val="00AE1A1C"/>
    <w:rsid w:val="00AE5210"/>
    <w:rsid w:val="00AE53F9"/>
    <w:rsid w:val="00AF3689"/>
    <w:rsid w:val="00B00189"/>
    <w:rsid w:val="00B06670"/>
    <w:rsid w:val="00B36671"/>
    <w:rsid w:val="00B36C8E"/>
    <w:rsid w:val="00B36DA6"/>
    <w:rsid w:val="00B36ED5"/>
    <w:rsid w:val="00B377DB"/>
    <w:rsid w:val="00B479F4"/>
    <w:rsid w:val="00B50C68"/>
    <w:rsid w:val="00B85EAC"/>
    <w:rsid w:val="00B905AF"/>
    <w:rsid w:val="00B96A78"/>
    <w:rsid w:val="00BA31C6"/>
    <w:rsid w:val="00BA50E9"/>
    <w:rsid w:val="00BA6F39"/>
    <w:rsid w:val="00BB0D7E"/>
    <w:rsid w:val="00BB43B6"/>
    <w:rsid w:val="00BC3171"/>
    <w:rsid w:val="00BC57D1"/>
    <w:rsid w:val="00BD0D46"/>
    <w:rsid w:val="00BD23CB"/>
    <w:rsid w:val="00BD3F94"/>
    <w:rsid w:val="00BE0B7D"/>
    <w:rsid w:val="00BF3A4E"/>
    <w:rsid w:val="00BF6792"/>
    <w:rsid w:val="00C01C4E"/>
    <w:rsid w:val="00C03D43"/>
    <w:rsid w:val="00C05050"/>
    <w:rsid w:val="00C1213A"/>
    <w:rsid w:val="00C32FE4"/>
    <w:rsid w:val="00C34609"/>
    <w:rsid w:val="00C4735F"/>
    <w:rsid w:val="00C47F3F"/>
    <w:rsid w:val="00C50736"/>
    <w:rsid w:val="00C60CFA"/>
    <w:rsid w:val="00C60E3A"/>
    <w:rsid w:val="00C6461A"/>
    <w:rsid w:val="00C64C64"/>
    <w:rsid w:val="00C751C4"/>
    <w:rsid w:val="00C83E01"/>
    <w:rsid w:val="00C86C4A"/>
    <w:rsid w:val="00C9547C"/>
    <w:rsid w:val="00C9712D"/>
    <w:rsid w:val="00CA2408"/>
    <w:rsid w:val="00CA3619"/>
    <w:rsid w:val="00CB4A89"/>
    <w:rsid w:val="00CC3152"/>
    <w:rsid w:val="00CC55D4"/>
    <w:rsid w:val="00CD364F"/>
    <w:rsid w:val="00CE0F93"/>
    <w:rsid w:val="00D02F78"/>
    <w:rsid w:val="00D030BF"/>
    <w:rsid w:val="00D05802"/>
    <w:rsid w:val="00D12E6A"/>
    <w:rsid w:val="00D13F26"/>
    <w:rsid w:val="00D14637"/>
    <w:rsid w:val="00D159D9"/>
    <w:rsid w:val="00D2689D"/>
    <w:rsid w:val="00D310A6"/>
    <w:rsid w:val="00D33ED0"/>
    <w:rsid w:val="00D35959"/>
    <w:rsid w:val="00D42B17"/>
    <w:rsid w:val="00D53398"/>
    <w:rsid w:val="00D5694F"/>
    <w:rsid w:val="00D90307"/>
    <w:rsid w:val="00D93EF8"/>
    <w:rsid w:val="00D94993"/>
    <w:rsid w:val="00DA0B59"/>
    <w:rsid w:val="00DA2F51"/>
    <w:rsid w:val="00DB4B89"/>
    <w:rsid w:val="00DD5DC8"/>
    <w:rsid w:val="00DE28CA"/>
    <w:rsid w:val="00DE62A7"/>
    <w:rsid w:val="00DF24F7"/>
    <w:rsid w:val="00E03F52"/>
    <w:rsid w:val="00E32438"/>
    <w:rsid w:val="00E40883"/>
    <w:rsid w:val="00E53698"/>
    <w:rsid w:val="00E6030E"/>
    <w:rsid w:val="00E65D4B"/>
    <w:rsid w:val="00E6685B"/>
    <w:rsid w:val="00E71657"/>
    <w:rsid w:val="00E745FB"/>
    <w:rsid w:val="00E8485D"/>
    <w:rsid w:val="00E96B79"/>
    <w:rsid w:val="00EA2414"/>
    <w:rsid w:val="00EA3A00"/>
    <w:rsid w:val="00EB2C17"/>
    <w:rsid w:val="00EB3136"/>
    <w:rsid w:val="00EB48E3"/>
    <w:rsid w:val="00EB7978"/>
    <w:rsid w:val="00EC0DA8"/>
    <w:rsid w:val="00EE0BEC"/>
    <w:rsid w:val="00EE4709"/>
    <w:rsid w:val="00EE516E"/>
    <w:rsid w:val="00F03A38"/>
    <w:rsid w:val="00F04983"/>
    <w:rsid w:val="00F0623A"/>
    <w:rsid w:val="00F1406C"/>
    <w:rsid w:val="00F21C44"/>
    <w:rsid w:val="00F37075"/>
    <w:rsid w:val="00F41CEA"/>
    <w:rsid w:val="00F464AD"/>
    <w:rsid w:val="00F52603"/>
    <w:rsid w:val="00F55856"/>
    <w:rsid w:val="00F6057D"/>
    <w:rsid w:val="00F846B8"/>
    <w:rsid w:val="00F86A35"/>
    <w:rsid w:val="00F9174C"/>
    <w:rsid w:val="00FC7A74"/>
    <w:rsid w:val="00FD26F7"/>
    <w:rsid w:val="00FD4CA4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50E882-5AA4-47DC-84EC-D204500D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34</cp:revision>
  <cp:lastPrinted>2024-03-28T09:30:00Z</cp:lastPrinted>
  <dcterms:created xsi:type="dcterms:W3CDTF">2024-04-09T05:28:00Z</dcterms:created>
  <dcterms:modified xsi:type="dcterms:W3CDTF">2024-04-15T06:43:00Z</dcterms:modified>
</cp:coreProperties>
</file>